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color w:val="1a1818"/>
          <w:sz w:val="20"/>
          <w:szCs w:val="20"/>
        </w:rPr>
      </w:pPr>
      <w:r w:rsidDel="00000000" w:rsidR="00000000" w:rsidRPr="00000000">
        <w:rPr>
          <w:rFonts w:ascii="Arial" w:cs="Arial" w:eastAsia="Arial" w:hAnsi="Arial"/>
          <w:b w:val="1"/>
          <w:bCs w:val="1"/>
          <w:color w:val="1a1818"/>
          <w:sz w:val="20"/>
          <w:szCs w:val="20"/>
          <w:rtl w:val="0"/>
        </w:rPr>
        <w:t xml:space="preserve">MATRIZ 2 – INDICADORES FINANCIEROS Y ORGANIZACIONALES</w:t>
      </w:r>
    </w:p>
    <w:p w:rsidR="00000000" w:rsidDel="00000000" w:rsidP="00000000" w:rsidRDefault="00000000" w:rsidRPr="00000000" w14:paraId="00000002">
      <w:pPr>
        <w:jc w:val="center"/>
        <w:rPr>
          <w:rFonts w:ascii="Arial" w:cs="Arial" w:eastAsia="Arial" w:hAnsi="Arial"/>
          <w:b w:val="1"/>
          <w:bCs w:val="1"/>
          <w:color w:val="1a1818"/>
          <w:sz w:val="20"/>
          <w:szCs w:val="20"/>
        </w:rPr>
      </w:pPr>
      <w:r w:rsidDel="00000000" w:rsidR="00000000" w:rsidRPr="00000000">
        <w:rPr>
          <w:rFonts w:ascii="Arial" w:cs="Arial" w:eastAsia="Arial" w:hAnsi="Arial"/>
          <w:b w:val="1"/>
          <w:bCs w:val="1"/>
          <w:color w:val="1a1818"/>
          <w:sz w:val="20"/>
          <w:szCs w:val="20"/>
          <w:rtl w:val="0"/>
        </w:rPr>
        <w:t xml:space="preserve">OBRAS PARA INFRAESTRUCTURA DE TRANSPORTE </w:t>
      </w:r>
    </w:p>
    <w:p w:rsidR="00000000" w:rsidDel="00000000" w:rsidP="00000000" w:rsidRDefault="00000000" w:rsidRPr="00000000" w14:paraId="00000003">
      <w:pPr>
        <w:jc w:val="center"/>
        <w:rPr>
          <w:rFonts w:ascii="Arial" w:cs="Arial" w:eastAsia="Arial" w:hAnsi="Arial"/>
          <w:b w:val="1"/>
          <w:bCs w:val="1"/>
          <w:color w:val="1a1818"/>
          <w:sz w:val="20"/>
          <w:szCs w:val="20"/>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bCs w:val="1"/>
          <w:color w:val="1a1818"/>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360"/>
        <w:jc w:val="both"/>
        <w:rPr>
          <w:i w:val="1"/>
          <w:iCs w:val="1"/>
          <w:smallCaps w:val="0"/>
          <w:strike w:val="0"/>
          <w:color w:val="000000"/>
          <w:sz w:val="20"/>
          <w:szCs w:val="20"/>
          <w:shd w:fill="auto" w:val="clear"/>
          <w:vertAlign w:val="baseline"/>
        </w:rPr>
      </w:pPr>
      <w:r w:rsidDel="00000000" w:rsidR="00000000" w:rsidRPr="00000000">
        <w:rPr>
          <w:b w:val="1"/>
          <w:bCs w:val="1"/>
          <w:i w:val="1"/>
          <w:iCs w:val="1"/>
          <w:smallCaps w:val="0"/>
          <w:strike w:val="0"/>
          <w:color w:val="000000"/>
          <w:sz w:val="20"/>
          <w:szCs w:val="20"/>
          <w:u w:val="none"/>
          <w:shd w:fill="auto" w:val="clear"/>
          <w:vertAlign w:val="baseline"/>
          <w:rtl w:val="0"/>
        </w:rPr>
        <w:t xml:space="preserve">Índices de capacidad financiera y organizacionales para Mipyme.</w:t>
      </w:r>
    </w:p>
    <w:p w:rsidR="00000000" w:rsidDel="00000000" w:rsidP="00000000" w:rsidRDefault="00000000" w:rsidRPr="00000000" w14:paraId="0000000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Proponente persona natural o jurídica que demuestre la condición de Mipyme de conformidad con lo previsto en el artículo 2.2.1.2.4.2.4. del Decreto 1082 de 2015, en concordancia con el parágrafo del artículo 2.2.1.13.2.4 del Decreto 1074 de 2015 o las normas que los modifiquen, sustituyan o complementen, probará los siguientes indicadores:</w:t>
      </w:r>
    </w:p>
    <w:p w:rsidR="00000000" w:rsidDel="00000000" w:rsidP="00000000" w:rsidRDefault="00000000" w:rsidRPr="00000000" w14:paraId="00000008">
      <w:pPr>
        <w:ind w:left="720" w:firstLine="0"/>
        <w:rPr>
          <w:rFonts w:ascii="Arial" w:cs="Arial" w:eastAsia="Arial" w:hAnsi="Arial"/>
          <w:sz w:val="20"/>
          <w:szCs w:val="20"/>
        </w:rPr>
      </w:pPr>
      <w:r w:rsidDel="00000000" w:rsidR="00000000" w:rsidRPr="00000000">
        <w:rPr>
          <w:rtl w:val="0"/>
        </w:rPr>
      </w:r>
    </w:p>
    <w:tbl>
      <w:tblPr>
        <w:tblStyle w:val="Table1"/>
        <w:tblW w:w="495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2268"/>
        <w:tblGridChange w:id="0">
          <w:tblGrid>
            <w:gridCol w:w="2689"/>
            <w:gridCol w:w="2268"/>
          </w:tblGrid>
        </w:tblGridChange>
      </w:tblGrid>
      <w:tr>
        <w:trPr>
          <w:cantSplit w:val="0"/>
          <w:trHeight w:val="20" w:hRule="atLeast"/>
          <w:tblHeader w:val="0"/>
        </w:trPr>
        <w:tc>
          <w:tcPr>
            <w:shd w:fill="3a3939" w:val="clear"/>
            <w:vAlign w:val="center"/>
          </w:tcPr>
          <w:p w:rsidR="00000000" w:rsidDel="00000000" w:rsidP="00000000" w:rsidRDefault="00000000" w:rsidRPr="00000000" w14:paraId="00000009">
            <w:pPr>
              <w:ind w:left="174" w:hanging="174"/>
              <w:jc w:val="center"/>
              <w:rPr>
                <w:rFonts w:ascii="Arial" w:cs="Arial" w:eastAsia="Arial" w:hAnsi="Arial"/>
                <w:b w:val="1"/>
                <w:bCs w:val="1"/>
                <w:color w:val="ffffff"/>
                <w:sz w:val="18"/>
                <w:szCs w:val="18"/>
              </w:rPr>
            </w:pPr>
            <w:r w:rsidDel="00000000" w:rsidR="00000000" w:rsidRPr="00000000">
              <w:rPr>
                <w:rFonts w:ascii="Arial" w:cs="Arial" w:eastAsia="Arial" w:hAnsi="Arial"/>
                <w:b w:val="1"/>
                <w:bCs w:val="1"/>
                <w:color w:val="ffffff"/>
                <w:sz w:val="18"/>
                <w:szCs w:val="18"/>
                <w:rtl w:val="0"/>
              </w:rPr>
              <w:t xml:space="preserve">Indicador</w:t>
            </w:r>
          </w:p>
        </w:tc>
        <w:tc>
          <w:tcPr>
            <w:shd w:fill="3a3939" w:val="clear"/>
            <w:vAlign w:val="center"/>
          </w:tcPr>
          <w:p w:rsidR="00000000" w:rsidDel="00000000" w:rsidP="00000000" w:rsidRDefault="00000000" w:rsidRPr="00000000" w14:paraId="0000000A">
            <w:pPr>
              <w:ind w:left="174" w:hanging="174"/>
              <w:jc w:val="center"/>
              <w:rPr>
                <w:rFonts w:ascii="Arial" w:cs="Arial" w:eastAsia="Arial" w:hAnsi="Arial"/>
                <w:b w:val="1"/>
                <w:bCs w:val="1"/>
                <w:color w:val="ffffff"/>
                <w:sz w:val="18"/>
                <w:szCs w:val="18"/>
              </w:rPr>
            </w:pPr>
            <w:r w:rsidDel="00000000" w:rsidR="00000000" w:rsidRPr="00000000">
              <w:rPr>
                <w:rFonts w:ascii="Arial" w:cs="Arial" w:eastAsia="Arial" w:hAnsi="Arial"/>
                <w:b w:val="1"/>
                <w:bCs w:val="1"/>
                <w:color w:val="ffffff"/>
                <w:sz w:val="18"/>
                <w:szCs w:val="18"/>
                <w:rtl w:val="0"/>
              </w:rPr>
              <w:t xml:space="preserve">Valor concertado</w:t>
            </w:r>
          </w:p>
        </w:tc>
      </w:tr>
      <w:tr>
        <w:trPr>
          <w:cantSplit w:val="0"/>
          <w:trHeight w:val="20" w:hRule="atLeast"/>
          <w:tblHeader w:val="0"/>
        </w:trPr>
        <w:tc>
          <w:tcPr>
            <w:vAlign w:val="center"/>
          </w:tcPr>
          <w:p w:rsidR="00000000" w:rsidDel="00000000" w:rsidP="00000000" w:rsidRDefault="00000000" w:rsidRPr="00000000" w14:paraId="0000000B">
            <w:pPr>
              <w:jc w:val="center"/>
              <w:rPr>
                <w:sz w:val="18"/>
                <w:szCs w:val="18"/>
              </w:rPr>
            </w:pPr>
            <w:r w:rsidDel="00000000" w:rsidR="00000000" w:rsidRPr="00000000">
              <w:rPr>
                <w:rtl w:val="0"/>
              </w:rPr>
            </w:r>
          </w:p>
          <w:p w:rsidR="00000000" w:rsidDel="00000000" w:rsidP="00000000" w:rsidRDefault="00000000" w:rsidRPr="00000000" w14:paraId="0000000C">
            <w:pPr>
              <w:jc w:val="center"/>
              <w:rPr>
                <w:sz w:val="18"/>
                <w:szCs w:val="18"/>
              </w:rPr>
            </w:pPr>
            <w:r w:rsidDel="00000000" w:rsidR="00000000" w:rsidRPr="00000000">
              <w:rPr>
                <w:sz w:val="18"/>
                <w:szCs w:val="18"/>
                <w:rtl w:val="0"/>
              </w:rPr>
              <w:t xml:space="preserve">Índice de liquidez</w:t>
            </w:r>
          </w:p>
        </w:tc>
        <w:tc>
          <w:tcPr>
            <w:vAlign w:val="center"/>
          </w:tcPr>
          <w:p w:rsidR="00000000" w:rsidDel="00000000" w:rsidP="00000000" w:rsidRDefault="00000000" w:rsidRPr="00000000" w14:paraId="0000000D">
            <w:pPr>
              <w:spacing w:before="240" w:lineRule="auto"/>
              <w:jc w:val="center"/>
              <w:rPr>
                <w:rFonts w:ascii="Arial" w:cs="Arial" w:eastAsia="Arial" w:hAnsi="Arial"/>
                <w:sz w:val="18"/>
                <w:szCs w:val="18"/>
              </w:rPr>
            </w:pPr>
            <m:oMath>
              <m:r>
                <m:t>≥</m:t>
              </m:r>
            </m:oMath>
            <w:r w:rsidDel="00000000" w:rsidR="00000000" w:rsidRPr="00000000">
              <w:rPr>
                <w:rFonts w:ascii="Arial" w:cs="Arial" w:eastAsia="Arial" w:hAnsi="Arial"/>
                <w:sz w:val="18"/>
                <w:szCs w:val="18"/>
                <w:rtl w:val="0"/>
              </w:rPr>
              <w:t xml:space="preserve">1,2</w:t>
            </w:r>
          </w:p>
          <w:p w:rsidR="00000000" w:rsidDel="00000000" w:rsidP="00000000" w:rsidRDefault="00000000" w:rsidRPr="00000000" w14:paraId="0000000E">
            <w:pPr>
              <w:jc w:val="center"/>
              <w:rPr>
                <w:sz w:val="18"/>
                <w:szCs w:val="18"/>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0F">
            <w:pPr>
              <w:jc w:val="center"/>
              <w:rPr>
                <w:sz w:val="18"/>
                <w:szCs w:val="18"/>
              </w:rPr>
            </w:pPr>
            <w:r w:rsidDel="00000000" w:rsidR="00000000" w:rsidRPr="00000000">
              <w:rPr>
                <w:rtl w:val="0"/>
              </w:rPr>
            </w:r>
          </w:p>
          <w:p w:rsidR="00000000" w:rsidDel="00000000" w:rsidP="00000000" w:rsidRDefault="00000000" w:rsidRPr="00000000" w14:paraId="00000010">
            <w:pPr>
              <w:jc w:val="center"/>
              <w:rPr>
                <w:sz w:val="18"/>
                <w:szCs w:val="18"/>
              </w:rPr>
            </w:pPr>
            <w:r w:rsidDel="00000000" w:rsidR="00000000" w:rsidRPr="00000000">
              <w:rPr>
                <w:sz w:val="18"/>
                <w:szCs w:val="18"/>
                <w:rtl w:val="0"/>
              </w:rPr>
              <w:t xml:space="preserve">Índice de endeudamiento</w:t>
            </w:r>
          </w:p>
        </w:tc>
        <w:tc>
          <w:tcPr>
            <w:vAlign w:val="center"/>
          </w:tcPr>
          <w:p w:rsidR="00000000" w:rsidDel="00000000" w:rsidP="00000000" w:rsidRDefault="00000000" w:rsidRPr="00000000" w14:paraId="00000011">
            <w:pPr>
              <w:jc w:val="center"/>
              <w:rPr>
                <w:sz w:val="18"/>
                <w:szCs w:val="18"/>
              </w:rPr>
            </w:pPr>
            <w:r w:rsidDel="00000000" w:rsidR="00000000" w:rsidRPr="00000000">
              <w:rPr>
                <w:rtl w:val="0"/>
              </w:rPr>
            </w:r>
          </w:p>
          <w:p w:rsidR="00000000" w:rsidDel="00000000" w:rsidP="00000000" w:rsidRDefault="00000000" w:rsidRPr="00000000" w14:paraId="00000012">
            <w:pPr>
              <w:jc w:val="center"/>
              <w:rPr>
                <w:rFonts w:ascii="Cambria Math" w:cs="Cambria Math" w:eastAsia="Cambria Math" w:hAnsi="Cambria Math"/>
                <w:sz w:val="18"/>
                <w:szCs w:val="18"/>
              </w:rPr>
            </w:pPr>
            <m:oMath>
              <m:r>
                <w:rPr>
                  <w:rFonts w:ascii="Cambria Math" w:cs="Cambria Math" w:eastAsia="Cambria Math" w:hAnsi="Cambria Math"/>
                  <w:sz w:val="18"/>
                  <w:szCs w:val="18"/>
                </w:rPr>
                <m:t xml:space="preserve">≤ 0,70</m:t>
              </m:r>
            </m:oMath>
            <w:r w:rsidDel="00000000" w:rsidR="00000000" w:rsidRPr="00000000">
              <w:rPr>
                <w:rtl w:val="0"/>
              </w:rPr>
            </w:r>
          </w:p>
          <w:p w:rsidR="00000000" w:rsidDel="00000000" w:rsidP="00000000" w:rsidRDefault="00000000" w:rsidRPr="00000000" w14:paraId="00000013">
            <w:pPr>
              <w:jc w:val="center"/>
              <w:rPr>
                <w:sz w:val="18"/>
                <w:szCs w:val="18"/>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14">
            <w:pPr>
              <w:jc w:val="center"/>
              <w:rPr>
                <w:sz w:val="18"/>
                <w:szCs w:val="18"/>
              </w:rPr>
            </w:pPr>
            <w:r w:rsidDel="00000000" w:rsidR="00000000" w:rsidRPr="00000000">
              <w:rPr>
                <w:rtl w:val="0"/>
              </w:rPr>
            </w:r>
          </w:p>
          <w:p w:rsidR="00000000" w:rsidDel="00000000" w:rsidP="00000000" w:rsidRDefault="00000000" w:rsidRPr="00000000" w14:paraId="00000015">
            <w:pPr>
              <w:jc w:val="center"/>
              <w:rPr>
                <w:sz w:val="18"/>
                <w:szCs w:val="18"/>
              </w:rPr>
            </w:pPr>
            <w:r w:rsidDel="00000000" w:rsidR="00000000" w:rsidRPr="00000000">
              <w:rPr>
                <w:sz w:val="18"/>
                <w:szCs w:val="18"/>
                <w:rtl w:val="0"/>
              </w:rPr>
              <w:t xml:space="preserve">Razón de cobertura de intereses</w:t>
            </w:r>
          </w:p>
        </w:tc>
        <w:tc>
          <w:tcPr>
            <w:vAlign w:val="center"/>
          </w:tcPr>
          <w:p w:rsidR="00000000" w:rsidDel="00000000" w:rsidP="00000000" w:rsidRDefault="00000000" w:rsidRPr="00000000" w14:paraId="00000016">
            <w:pPr>
              <w:jc w:val="center"/>
              <w:rPr>
                <w:sz w:val="18"/>
                <w:szCs w:val="18"/>
              </w:rPr>
            </w:pPr>
            <w:r w:rsidDel="00000000" w:rsidR="00000000" w:rsidRPr="00000000">
              <w:rPr>
                <w:rtl w:val="0"/>
              </w:rPr>
            </w:r>
          </w:p>
          <w:p w:rsidR="00000000" w:rsidDel="00000000" w:rsidP="00000000" w:rsidRDefault="00000000" w:rsidRPr="00000000" w14:paraId="00000017">
            <w:pPr>
              <w:jc w:val="center"/>
              <w:rPr>
                <w:rFonts w:ascii="Cambria Math" w:cs="Cambria Math" w:eastAsia="Cambria Math" w:hAnsi="Cambria Math"/>
                <w:sz w:val="18"/>
                <w:szCs w:val="18"/>
              </w:rPr>
            </w:pPr>
            <m:oMath>
              <m:r>
                <w:rPr>
                  <w:rFonts w:ascii="Cambria Math" w:cs="Cambria Math" w:eastAsia="Cambria Math" w:hAnsi="Cambria Math"/>
                  <w:sz w:val="18"/>
                  <w:szCs w:val="18"/>
                </w:rPr>
                <m:t xml:space="preserve">≥1</m:t>
              </m:r>
            </m:oMath>
            <w:r w:rsidDel="00000000" w:rsidR="00000000" w:rsidRPr="00000000">
              <w:rPr>
                <w:rtl w:val="0"/>
              </w:rPr>
            </w:r>
          </w:p>
          <w:p w:rsidR="00000000" w:rsidDel="00000000" w:rsidP="00000000" w:rsidRDefault="00000000" w:rsidRPr="00000000" w14:paraId="00000018">
            <w:pPr>
              <w:jc w:val="center"/>
              <w:rPr>
                <w:sz w:val="18"/>
                <w:szCs w:val="18"/>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19">
            <w:pPr>
              <w:jc w:val="center"/>
              <w:rPr>
                <w:sz w:val="18"/>
                <w:szCs w:val="18"/>
              </w:rPr>
            </w:pPr>
            <w:r w:rsidDel="00000000" w:rsidR="00000000" w:rsidRPr="00000000">
              <w:rPr>
                <w:rtl w:val="0"/>
              </w:rPr>
            </w:r>
          </w:p>
          <w:p w:rsidR="00000000" w:rsidDel="00000000" w:rsidP="00000000" w:rsidRDefault="00000000" w:rsidRPr="00000000" w14:paraId="0000001A">
            <w:pPr>
              <w:jc w:val="center"/>
              <w:rPr>
                <w:sz w:val="18"/>
                <w:szCs w:val="18"/>
              </w:rPr>
            </w:pPr>
            <w:r w:rsidDel="00000000" w:rsidR="00000000" w:rsidRPr="00000000">
              <w:rPr>
                <w:sz w:val="18"/>
                <w:szCs w:val="18"/>
                <w:rtl w:val="0"/>
              </w:rPr>
              <w:t xml:space="preserve">Capital de trabajo</w:t>
            </w:r>
          </w:p>
        </w:tc>
        <w:tc>
          <w:tcPr>
            <w:vAlign w:val="center"/>
          </w:tcPr>
          <w:p w:rsidR="00000000" w:rsidDel="00000000" w:rsidP="00000000" w:rsidRDefault="00000000" w:rsidRPr="00000000" w14:paraId="0000001B">
            <w:pPr>
              <w:jc w:val="center"/>
              <w:rPr>
                <w:sz w:val="18"/>
                <w:szCs w:val="18"/>
              </w:rPr>
            </w:pPr>
            <w:r w:rsidDel="00000000" w:rsidR="00000000" w:rsidRPr="00000000">
              <w:rPr>
                <w:rtl w:val="0"/>
              </w:rPr>
            </w:r>
          </w:p>
          <w:p w:rsidR="00000000" w:rsidDel="00000000" w:rsidP="00000000" w:rsidRDefault="00000000" w:rsidRPr="00000000" w14:paraId="0000001C">
            <w:pPr>
              <w:jc w:val="center"/>
              <w:rPr>
                <w:sz w:val="18"/>
                <w:szCs w:val="18"/>
              </w:rPr>
            </w:pPr>
            <w:r w:rsidDel="00000000" w:rsidR="00000000" w:rsidRPr="00000000">
              <w:rPr>
                <w:sz w:val="18"/>
                <w:szCs w:val="18"/>
                <w:rtl w:val="0"/>
              </w:rPr>
              <w:t xml:space="preserve">Definido en los Pliegos Tipo</w:t>
            </w:r>
          </w:p>
          <w:p w:rsidR="00000000" w:rsidDel="00000000" w:rsidP="00000000" w:rsidRDefault="00000000" w:rsidRPr="00000000" w14:paraId="0000001D">
            <w:pPr>
              <w:jc w:val="center"/>
              <w:rPr>
                <w:sz w:val="18"/>
                <w:szCs w:val="18"/>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1E">
            <w:pPr>
              <w:jc w:val="center"/>
              <w:rPr>
                <w:sz w:val="18"/>
                <w:szCs w:val="18"/>
              </w:rPr>
            </w:pPr>
            <w:r w:rsidDel="00000000" w:rsidR="00000000" w:rsidRPr="00000000">
              <w:rPr>
                <w:rtl w:val="0"/>
              </w:rPr>
            </w:r>
          </w:p>
          <w:p w:rsidR="00000000" w:rsidDel="00000000" w:rsidP="00000000" w:rsidRDefault="00000000" w:rsidRPr="00000000" w14:paraId="0000001F">
            <w:pPr>
              <w:jc w:val="center"/>
              <w:rPr>
                <w:sz w:val="18"/>
                <w:szCs w:val="18"/>
              </w:rPr>
            </w:pPr>
            <w:r w:rsidDel="00000000" w:rsidR="00000000" w:rsidRPr="00000000">
              <w:rPr>
                <w:sz w:val="18"/>
                <w:szCs w:val="18"/>
                <w:rtl w:val="0"/>
              </w:rPr>
              <w:t xml:space="preserve">Rentabilidad del patrimonio</w:t>
            </w:r>
          </w:p>
        </w:tc>
        <w:tc>
          <w:tcPr>
            <w:vAlign w:val="center"/>
          </w:tcPr>
          <w:p w:rsidR="00000000" w:rsidDel="00000000" w:rsidP="00000000" w:rsidRDefault="00000000" w:rsidRPr="00000000" w14:paraId="00000020">
            <w:pPr>
              <w:jc w:val="center"/>
              <w:rPr>
                <w:sz w:val="18"/>
                <w:szCs w:val="18"/>
              </w:rPr>
            </w:pPr>
            <w:r w:rsidDel="00000000" w:rsidR="00000000" w:rsidRPr="00000000">
              <w:rPr>
                <w:rtl w:val="0"/>
              </w:rPr>
            </w:r>
          </w:p>
          <w:p w:rsidR="00000000" w:rsidDel="00000000" w:rsidP="00000000" w:rsidRDefault="00000000" w:rsidRPr="00000000" w14:paraId="00000021">
            <w:pPr>
              <w:jc w:val="center"/>
              <w:rPr>
                <w:rFonts w:ascii="Arial" w:cs="Arial" w:eastAsia="Arial" w:hAnsi="Arial"/>
                <w:sz w:val="18"/>
                <w:szCs w:val="18"/>
              </w:rPr>
            </w:pPr>
            <m:oMath>
              <m:r>
                <w:rPr>
                  <w:rFonts w:ascii="Cambria Math" w:cs="Cambria Math" w:eastAsia="Cambria Math" w:hAnsi="Cambria Math"/>
                  <w:sz w:val="18"/>
                  <w:szCs w:val="18"/>
                </w:rPr>
                <m:t xml:space="preserve">≥0</m:t>
              </m:r>
            </m:oMath>
            <w:r w:rsidDel="00000000" w:rsidR="00000000" w:rsidRPr="00000000">
              <w:rPr>
                <w:rFonts w:ascii="Arial" w:cs="Arial" w:eastAsia="Arial" w:hAnsi="Arial"/>
                <w:sz w:val="18"/>
                <w:szCs w:val="18"/>
                <w:rtl w:val="0"/>
              </w:rPr>
              <w:t xml:space="preserve">,02</w:t>
            </w:r>
          </w:p>
          <w:p w:rsidR="00000000" w:rsidDel="00000000" w:rsidP="00000000" w:rsidRDefault="00000000" w:rsidRPr="00000000" w14:paraId="00000022">
            <w:pPr>
              <w:jc w:val="center"/>
              <w:rPr>
                <w:sz w:val="18"/>
                <w:szCs w:val="18"/>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23">
            <w:pPr>
              <w:jc w:val="center"/>
              <w:rPr>
                <w:sz w:val="18"/>
                <w:szCs w:val="18"/>
              </w:rPr>
            </w:pPr>
            <w:r w:rsidDel="00000000" w:rsidR="00000000" w:rsidRPr="00000000">
              <w:rPr>
                <w:rtl w:val="0"/>
              </w:rPr>
            </w:r>
          </w:p>
          <w:p w:rsidR="00000000" w:rsidDel="00000000" w:rsidP="00000000" w:rsidRDefault="00000000" w:rsidRPr="00000000" w14:paraId="00000024">
            <w:pPr>
              <w:jc w:val="center"/>
              <w:rPr>
                <w:sz w:val="18"/>
                <w:szCs w:val="18"/>
              </w:rPr>
            </w:pPr>
            <w:r w:rsidDel="00000000" w:rsidR="00000000" w:rsidRPr="00000000">
              <w:rPr>
                <w:sz w:val="18"/>
                <w:szCs w:val="18"/>
                <w:rtl w:val="0"/>
              </w:rPr>
              <w:t xml:space="preserve">Rentabilidad del activo</w:t>
            </w:r>
          </w:p>
        </w:tc>
        <w:tc>
          <w:tcPr>
            <w:vAlign w:val="center"/>
          </w:tcPr>
          <w:p w:rsidR="00000000" w:rsidDel="00000000" w:rsidP="00000000" w:rsidRDefault="00000000" w:rsidRPr="00000000" w14:paraId="00000025">
            <w:pPr>
              <w:jc w:val="center"/>
              <w:rPr>
                <w:sz w:val="18"/>
                <w:szCs w:val="18"/>
              </w:rPr>
            </w:pPr>
            <w:r w:rsidDel="00000000" w:rsidR="00000000" w:rsidRPr="00000000">
              <w:rPr>
                <w:rtl w:val="0"/>
              </w:rPr>
            </w:r>
          </w:p>
          <w:p w:rsidR="00000000" w:rsidDel="00000000" w:rsidP="00000000" w:rsidRDefault="00000000" w:rsidRPr="00000000" w14:paraId="00000026">
            <w:pPr>
              <w:jc w:val="center"/>
              <w:rPr>
                <w:sz w:val="18"/>
                <w:szCs w:val="18"/>
              </w:rPr>
            </w:pPr>
            <m:oMath>
              <m:r>
                <w:rPr>
                  <w:rFonts w:ascii="Cambria Math" w:cs="Cambria Math" w:eastAsia="Cambria Math" w:hAnsi="Cambria Math"/>
                  <w:sz w:val="18"/>
                  <w:szCs w:val="18"/>
                </w:rPr>
                <m:t xml:space="preserve">≥0</m:t>
              </m:r>
            </m:oMath>
            <w:r w:rsidDel="00000000" w:rsidR="00000000" w:rsidRPr="00000000">
              <w:rPr>
                <w:sz w:val="18"/>
                <w:szCs w:val="18"/>
                <w:rtl w:val="0"/>
              </w:rPr>
              <w:t xml:space="preserve">,01</w:t>
            </w:r>
          </w:p>
          <w:p w:rsidR="00000000" w:rsidDel="00000000" w:rsidP="00000000" w:rsidRDefault="00000000" w:rsidRPr="00000000" w14:paraId="00000027">
            <w:pPr>
              <w:jc w:val="center"/>
              <w:rPr>
                <w:sz w:val="18"/>
                <w:szCs w:val="18"/>
              </w:rPr>
            </w:pPr>
            <w:r w:rsidDel="00000000" w:rsidR="00000000" w:rsidRPr="00000000">
              <w:rPr>
                <w:rtl w:val="0"/>
              </w:rPr>
            </w:r>
          </w:p>
        </w:tc>
      </w:tr>
    </w:tbl>
    <w:p w:rsidR="00000000" w:rsidDel="00000000" w:rsidP="00000000" w:rsidRDefault="00000000" w:rsidRPr="00000000" w14:paraId="00000028">
      <w:pPr>
        <w:ind w:left="720" w:firstLine="0"/>
        <w:rPr>
          <w:b w:val="1"/>
          <w:bCs w:val="1"/>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Tratándose de Proponente Plurales estos indicadores solo se aplicarán si por lo menos uno de los integrantes acredita la calidad de Mipyme de conformidad con lo previsto en el artículo 2.2.1.2.4.2.4. del Decreto 1082 de 2015, o la normas que los modifiquen, sustituyan o complementen, y tienen una participación igual o superior al diez por ciento (10 %) en el consorcio o en la unión temporal.</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acreditar la calidad de Mipyme el Proponente entregará copia del certificado del Registro Único de Proponentes, el cual deberá encontrarse vigente y en firme al momento de su presentación.</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360"/>
        <w:jc w:val="both"/>
        <w:rPr>
          <w:rFonts w:ascii="Arial" w:cs="Arial" w:eastAsia="Arial" w:hAnsi="Arial"/>
          <w:b w:val="1"/>
          <w:bCs w:val="1"/>
          <w:i w:val="0"/>
          <w:iCs w:val="0"/>
          <w:smallCaps w:val="0"/>
          <w:strike w:val="0"/>
          <w:color w:val="000000"/>
          <w:sz w:val="20"/>
          <w:szCs w:val="20"/>
          <w:shd w:fill="auto" w:val="clear"/>
          <w:vertAlign w:val="baseline"/>
        </w:rPr>
      </w:pPr>
      <w:r w:rsidDel="00000000" w:rsidR="00000000" w:rsidRPr="00000000">
        <w:rPr>
          <w:b w:val="1"/>
          <w:bCs w:val="1"/>
          <w:i w:val="1"/>
          <w:iCs w:val="1"/>
          <w:smallCaps w:val="0"/>
          <w:strike w:val="0"/>
          <w:color w:val="000000"/>
          <w:sz w:val="20"/>
          <w:szCs w:val="20"/>
          <w:u w:val="none"/>
          <w:shd w:fill="auto" w:val="clear"/>
          <w:vertAlign w:val="baseline"/>
          <w:rtl w:val="0"/>
        </w:rPr>
        <w:t xml:space="preserve">Índices de capacidad financiera y organizacionales para los demás Proponentes</w:t>
      </w:r>
      <w:r w:rsidDel="00000000" w:rsidR="00000000" w:rsidRPr="00000000">
        <w:rPr>
          <w:rtl w:val="0"/>
        </w:rPr>
      </w:r>
    </w:p>
    <w:p w:rsidR="00000000" w:rsidDel="00000000" w:rsidP="00000000" w:rsidRDefault="00000000" w:rsidRPr="00000000" w14:paraId="00000030">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Los Proponentes que </w:t>
      </w:r>
      <w:r w:rsidDel="00000000" w:rsidR="00000000" w:rsidRPr="00000000">
        <w:rPr>
          <w:rFonts w:ascii="Arial" w:cs="Arial" w:eastAsia="Arial" w:hAnsi="Arial"/>
          <w:b w:val="1"/>
          <w:bCs w:val="1"/>
          <w:i w:val="0"/>
          <w:iCs w:val="0"/>
          <w:smallCaps w:val="0"/>
          <w:strike w:val="0"/>
          <w:color w:val="000000"/>
          <w:sz w:val="20"/>
          <w:szCs w:val="20"/>
          <w:u w:val="single"/>
          <w:shd w:fill="auto" w:val="clear"/>
          <w:vertAlign w:val="baseline"/>
          <w:rtl w:val="0"/>
        </w:rPr>
        <w:t xml:space="preserve">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demuestren la condición de Mipyme de conformidad con lo en el artículo 2.2.1.2.4.2.4. del Decreto 1082 de 2015, en concordancia con el parágrafo del artículo 2.2.1.13.2.4 del Decreto 1074 de 2015 o las normas que los modifiquen, sustituyan o complementen, acreditarán los siguientes indicadores: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jc w:val="both"/>
        <w:rPr>
          <w:rFonts w:ascii="Arial" w:cs="Arial" w:eastAsia="Arial" w:hAnsi="Arial"/>
          <w:b w:val="1"/>
          <w:bCs w:val="1"/>
          <w:sz w:val="20"/>
          <w:szCs w:val="20"/>
        </w:rPr>
      </w:pPr>
      <w:r w:rsidDel="00000000" w:rsidR="00000000" w:rsidRPr="00000000">
        <w:rPr>
          <w:rtl w:val="0"/>
        </w:rPr>
      </w:r>
    </w:p>
    <w:tbl>
      <w:tblPr>
        <w:tblStyle w:val="Table2"/>
        <w:tblW w:w="495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2268"/>
        <w:tblGridChange w:id="0">
          <w:tblGrid>
            <w:gridCol w:w="2689"/>
            <w:gridCol w:w="2268"/>
          </w:tblGrid>
        </w:tblGridChange>
      </w:tblGrid>
      <w:tr>
        <w:trPr>
          <w:cantSplit w:val="0"/>
          <w:trHeight w:val="20" w:hRule="atLeast"/>
          <w:tblHeader w:val="1"/>
        </w:trPr>
        <w:tc>
          <w:tcPr>
            <w:shd w:fill="3a3939" w:val="clear"/>
            <w:vAlign w:val="center"/>
          </w:tcPr>
          <w:p w:rsidR="00000000" w:rsidDel="00000000" w:rsidP="00000000" w:rsidRDefault="00000000" w:rsidRPr="00000000" w14:paraId="00000034">
            <w:pPr>
              <w:ind w:left="174" w:hanging="174"/>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Indicador</w:t>
            </w:r>
          </w:p>
        </w:tc>
        <w:tc>
          <w:tcPr>
            <w:shd w:fill="3a3939" w:val="clear"/>
            <w:vAlign w:val="center"/>
          </w:tcPr>
          <w:p w:rsidR="00000000" w:rsidDel="00000000" w:rsidP="00000000" w:rsidRDefault="00000000" w:rsidRPr="00000000" w14:paraId="00000035">
            <w:pPr>
              <w:ind w:left="174" w:hanging="174"/>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Valor concertado</w:t>
            </w:r>
          </w:p>
        </w:tc>
      </w:tr>
      <w:tr>
        <w:trPr>
          <w:cantSplit w:val="0"/>
          <w:trHeight w:val="20" w:hRule="atLeast"/>
          <w:tblHeader w:val="0"/>
        </w:trPr>
        <w:tc>
          <w:tcPr>
            <w:vAlign w:val="center"/>
          </w:tcPr>
          <w:p w:rsidR="00000000" w:rsidDel="00000000" w:rsidP="00000000" w:rsidRDefault="00000000" w:rsidRPr="00000000" w14:paraId="00000036">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Índice de liquidez</w:t>
            </w:r>
          </w:p>
        </w:tc>
        <w:tc>
          <w:tcPr>
            <w:vAlign w:val="center"/>
          </w:tcPr>
          <w:p w:rsidR="00000000" w:rsidDel="00000000" w:rsidP="00000000" w:rsidRDefault="00000000" w:rsidRPr="00000000" w14:paraId="00000038">
            <w:pPr>
              <w:spacing w:before="240" w:lineRule="auto"/>
              <w:jc w:val="center"/>
              <w:rPr>
                <w:rFonts w:ascii="Arial" w:cs="Arial" w:eastAsia="Arial" w:hAnsi="Arial"/>
                <w:sz w:val="18"/>
                <w:szCs w:val="18"/>
              </w:rPr>
            </w:pPr>
            <m:oMath>
              <m:r>
                <m:t>≥</m:t>
              </m:r>
            </m:oMath>
            <w:r w:rsidDel="00000000" w:rsidR="00000000" w:rsidRPr="00000000">
              <w:rPr>
                <w:rFonts w:ascii="Arial" w:cs="Arial" w:eastAsia="Arial" w:hAnsi="Arial"/>
                <w:sz w:val="18"/>
                <w:szCs w:val="18"/>
                <w:rtl w:val="0"/>
              </w:rPr>
              <w:t xml:space="preserve">1,3</w:t>
            </w:r>
          </w:p>
          <w:p w:rsidR="00000000" w:rsidDel="00000000" w:rsidP="00000000" w:rsidRDefault="00000000" w:rsidRPr="00000000" w14:paraId="00000039">
            <w:pPr>
              <w:jc w:val="center"/>
              <w:rPr>
                <w:rFonts w:ascii="Arial" w:cs="Arial" w:eastAsia="Arial" w:hAnsi="Arial"/>
                <w:sz w:val="18"/>
                <w:szCs w:val="18"/>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3A">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Índice de endeudamiento</w:t>
            </w:r>
          </w:p>
        </w:tc>
        <w:tc>
          <w:tcPr>
            <w:vAlign w:val="center"/>
          </w:tcPr>
          <w:p w:rsidR="00000000" w:rsidDel="00000000" w:rsidP="00000000" w:rsidRDefault="00000000" w:rsidRPr="00000000" w14:paraId="0000003C">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D">
            <w:pPr>
              <w:jc w:val="center"/>
              <w:rPr>
                <w:rFonts w:ascii="Cambria Math" w:cs="Cambria Math" w:eastAsia="Cambria Math" w:hAnsi="Cambria Math"/>
                <w:sz w:val="18"/>
                <w:szCs w:val="18"/>
              </w:rPr>
            </w:pPr>
            <m:oMath>
              <m:r>
                <w:rPr>
                  <w:rFonts w:ascii="Cambria Math" w:cs="Cambria Math" w:eastAsia="Cambria Math" w:hAnsi="Cambria Math"/>
                  <w:sz w:val="18"/>
                  <w:szCs w:val="18"/>
                </w:rPr>
                <m:t xml:space="preserve">≤ 0,70</m:t>
              </m:r>
            </m:oMath>
            <w:r w:rsidDel="00000000" w:rsidR="00000000" w:rsidRPr="00000000">
              <w:rPr>
                <w:rtl w:val="0"/>
              </w:rPr>
            </w:r>
          </w:p>
          <w:p w:rsidR="00000000" w:rsidDel="00000000" w:rsidP="00000000" w:rsidRDefault="00000000" w:rsidRPr="00000000" w14:paraId="0000003E">
            <w:pPr>
              <w:jc w:val="center"/>
              <w:rPr>
                <w:rFonts w:ascii="Arial" w:cs="Arial" w:eastAsia="Arial" w:hAnsi="Arial"/>
                <w:sz w:val="18"/>
                <w:szCs w:val="18"/>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3F">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Razón de cobertura de intereses</w:t>
            </w:r>
          </w:p>
        </w:tc>
        <w:tc>
          <w:tcPr>
            <w:vAlign w:val="center"/>
          </w:tcPr>
          <w:p w:rsidR="00000000" w:rsidDel="00000000" w:rsidP="00000000" w:rsidRDefault="00000000" w:rsidRPr="00000000" w14:paraId="00000041">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2">
            <w:pPr>
              <w:jc w:val="center"/>
              <w:rPr>
                <w:rFonts w:ascii="Cambria Math" w:cs="Cambria Math" w:eastAsia="Cambria Math" w:hAnsi="Cambria Math"/>
                <w:sz w:val="18"/>
                <w:szCs w:val="18"/>
              </w:rPr>
            </w:pPr>
            <m:oMath>
              <m:r>
                <w:rPr>
                  <w:rFonts w:ascii="Cambria Math" w:cs="Cambria Math" w:eastAsia="Cambria Math" w:hAnsi="Cambria Math"/>
                  <w:sz w:val="18"/>
                  <w:szCs w:val="18"/>
                </w:rPr>
                <m:t xml:space="preserve">≥1</m:t>
              </m:r>
            </m:oMath>
            <w:r w:rsidDel="00000000" w:rsidR="00000000" w:rsidRPr="00000000">
              <w:rPr>
                <w:rtl w:val="0"/>
              </w:rPr>
            </w:r>
          </w:p>
          <w:p w:rsidR="00000000" w:rsidDel="00000000" w:rsidP="00000000" w:rsidRDefault="00000000" w:rsidRPr="00000000" w14:paraId="00000043">
            <w:pPr>
              <w:jc w:val="center"/>
              <w:rPr>
                <w:rFonts w:ascii="Arial" w:cs="Arial" w:eastAsia="Arial" w:hAnsi="Arial"/>
                <w:sz w:val="18"/>
                <w:szCs w:val="18"/>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44">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Capital de trabajo</w:t>
            </w:r>
          </w:p>
        </w:tc>
        <w:tc>
          <w:tcPr>
            <w:vAlign w:val="center"/>
          </w:tcPr>
          <w:p w:rsidR="00000000" w:rsidDel="00000000" w:rsidP="00000000" w:rsidRDefault="00000000" w:rsidRPr="00000000" w14:paraId="00000046">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Definido en los Pliegos Tipo</w:t>
            </w:r>
          </w:p>
          <w:p w:rsidR="00000000" w:rsidDel="00000000" w:rsidP="00000000" w:rsidRDefault="00000000" w:rsidRPr="00000000" w14:paraId="00000048">
            <w:pPr>
              <w:jc w:val="center"/>
              <w:rPr>
                <w:rFonts w:ascii="Arial" w:cs="Arial" w:eastAsia="Arial" w:hAnsi="Arial"/>
                <w:sz w:val="18"/>
                <w:szCs w:val="18"/>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49">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Rentabilidad del patrimonio</w:t>
            </w:r>
          </w:p>
        </w:tc>
        <w:tc>
          <w:tcPr>
            <w:vAlign w:val="center"/>
          </w:tcPr>
          <w:p w:rsidR="00000000" w:rsidDel="00000000" w:rsidP="00000000" w:rsidRDefault="00000000" w:rsidRPr="00000000" w14:paraId="0000004B">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C">
            <w:pPr>
              <w:jc w:val="center"/>
              <w:rPr>
                <w:rFonts w:ascii="Cambria Math" w:cs="Cambria Math" w:eastAsia="Cambria Math" w:hAnsi="Cambria Math"/>
                <w:sz w:val="18"/>
                <w:szCs w:val="18"/>
              </w:rPr>
            </w:pPr>
            <m:oMath>
              <m:r>
                <w:rPr>
                  <w:rFonts w:ascii="Cambria Math" w:cs="Cambria Math" w:eastAsia="Cambria Math" w:hAnsi="Cambria Math"/>
                  <w:sz w:val="18"/>
                  <w:szCs w:val="18"/>
                </w:rPr>
                <m:t xml:space="preserve">≥0,04</m:t>
              </m:r>
            </m:oMath>
            <w:r w:rsidDel="00000000" w:rsidR="00000000" w:rsidRPr="00000000">
              <w:rPr>
                <w:rtl w:val="0"/>
              </w:rPr>
            </w:r>
          </w:p>
          <w:p w:rsidR="00000000" w:rsidDel="00000000" w:rsidP="00000000" w:rsidRDefault="00000000" w:rsidRPr="00000000" w14:paraId="0000004D">
            <w:pPr>
              <w:jc w:val="center"/>
              <w:rPr>
                <w:rFonts w:ascii="Arial" w:cs="Arial" w:eastAsia="Arial" w:hAnsi="Arial"/>
                <w:sz w:val="18"/>
                <w:szCs w:val="18"/>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4E">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Rentabilidad del activo</w:t>
            </w:r>
          </w:p>
        </w:tc>
        <w:tc>
          <w:tcPr>
            <w:vAlign w:val="center"/>
          </w:tcPr>
          <w:p w:rsidR="00000000" w:rsidDel="00000000" w:rsidP="00000000" w:rsidRDefault="00000000" w:rsidRPr="00000000" w14:paraId="00000050">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1">
            <w:pPr>
              <w:jc w:val="center"/>
              <w:rPr>
                <w:rFonts w:ascii="Cambria Math" w:cs="Cambria Math" w:eastAsia="Cambria Math" w:hAnsi="Cambria Math"/>
                <w:sz w:val="18"/>
                <w:szCs w:val="18"/>
              </w:rPr>
            </w:pPr>
            <m:oMath>
              <m:r>
                <w:rPr>
                  <w:rFonts w:ascii="Cambria Math" w:cs="Cambria Math" w:eastAsia="Cambria Math" w:hAnsi="Cambria Math"/>
                  <w:sz w:val="18"/>
                  <w:szCs w:val="18"/>
                </w:rPr>
                <m:t xml:space="preserve">≥0,02</m:t>
              </m:r>
            </m:oMath>
            <w:r w:rsidDel="00000000" w:rsidR="00000000" w:rsidRPr="00000000">
              <w:rPr>
                <w:rtl w:val="0"/>
              </w:rPr>
            </w:r>
          </w:p>
          <w:p w:rsidR="00000000" w:rsidDel="00000000" w:rsidP="00000000" w:rsidRDefault="00000000" w:rsidRPr="00000000" w14:paraId="00000052">
            <w:pPr>
              <w:jc w:val="center"/>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5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jc w:val="both"/>
        <w:rPr/>
      </w:pPr>
      <w:r w:rsidDel="00000000" w:rsidR="00000000" w:rsidRPr="00000000">
        <w:rPr>
          <w:rFonts w:ascii="Arial" w:cs="Arial" w:eastAsia="Arial" w:hAnsi="Arial"/>
          <w:sz w:val="20"/>
          <w:szCs w:val="20"/>
          <w:rtl w:val="0"/>
        </w:rPr>
        <w:t xml:space="preserve">Los indicadores definidos en la presente matriz deben ser usados por las Entidades en la estructuración de los Documentos del Proceso de Contratación de selección abreviada de menor cuantía para obra pública para infraestructura de transporte. </w:t>
      </w:r>
      <w:r w:rsidDel="00000000" w:rsidR="00000000" w:rsidRPr="00000000">
        <w:rPr>
          <w:rtl w:val="0"/>
        </w:rPr>
      </w:r>
    </w:p>
    <w:p w:rsidR="00000000" w:rsidDel="00000000" w:rsidP="00000000" w:rsidRDefault="00000000" w:rsidRPr="00000000" w14:paraId="00000056">
      <w:pPr>
        <w:rPr>
          <w:color w:val="1a1818"/>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18" w:top="1418" w:left="1701" w:right="1701" w:header="851" w:footer="85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ambria Math">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4"/>
      <w:tblW w:w="3964.0000000000005"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768"/>
      <w:gridCol w:w="1922"/>
      <w:gridCol w:w="991"/>
      <w:gridCol w:w="283"/>
      <w:tblGridChange w:id="0">
        <w:tblGrid>
          <w:gridCol w:w="768"/>
          <w:gridCol w:w="1922"/>
          <w:gridCol w:w="991"/>
          <w:gridCol w:w="283"/>
        </w:tblGrid>
      </w:tblGridChange>
    </w:tblGrid>
    <w:tr>
      <w:trPr>
        <w:cantSplit w:val="0"/>
        <w:trHeight w:val="220" w:hRule="atLeast"/>
        <w:tblHeader w:val="0"/>
      </w:trPr>
      <w:tc>
        <w:tcPr>
          <w:shd w:fill="auto" w:val="clear"/>
          <w:vAlign w:val="center"/>
        </w:tcPr>
        <w:p w:rsidR="00000000" w:rsidDel="00000000" w:rsidP="00000000" w:rsidRDefault="00000000" w:rsidRPr="00000000" w14:paraId="0000006A">
          <w:pPr>
            <w:spacing w:after="4" w:line="249" w:lineRule="auto"/>
            <w:ind w:left="10" w:hanging="1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Código</w:t>
          </w:r>
        </w:p>
      </w:tc>
      <w:tc>
        <w:tcPr>
          <w:shd w:fill="auto" w:val="clear"/>
          <w:vAlign w:val="center"/>
        </w:tcPr>
        <w:p w:rsidR="00000000" w:rsidDel="00000000" w:rsidP="00000000" w:rsidRDefault="00000000" w:rsidRPr="00000000" w14:paraId="0000006B">
          <w:pPr>
            <w:spacing w:after="4" w:line="249" w:lineRule="auto"/>
            <w:ind w:left="10" w:hanging="10"/>
            <w:rPr>
              <w:rFonts w:ascii="Arial" w:cs="Arial" w:eastAsia="Arial" w:hAnsi="Arial"/>
              <w:sz w:val="16"/>
              <w:szCs w:val="16"/>
            </w:rPr>
          </w:pPr>
          <w:r w:rsidDel="00000000" w:rsidR="00000000" w:rsidRPr="00000000">
            <w:rPr>
              <w:rFonts w:ascii="Arial" w:cs="Arial" w:eastAsia="Arial" w:hAnsi="Arial"/>
              <w:sz w:val="16"/>
              <w:szCs w:val="16"/>
              <w:rtl w:val="0"/>
            </w:rPr>
            <w:t xml:space="preserve">CCE-EICP-FM-12</w:t>
          </w:r>
        </w:p>
      </w:tc>
      <w:tc>
        <w:tcPr>
          <w:shd w:fill="auto" w:val="clear"/>
          <w:vAlign w:val="center"/>
        </w:tcPr>
        <w:p w:rsidR="00000000" w:rsidDel="00000000" w:rsidP="00000000" w:rsidRDefault="00000000" w:rsidRPr="00000000" w14:paraId="0000006C">
          <w:pPr>
            <w:spacing w:after="4" w:line="249" w:lineRule="auto"/>
            <w:ind w:left="10" w:hanging="1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Versión</w:t>
          </w:r>
        </w:p>
      </w:tc>
      <w:tc>
        <w:tcPr>
          <w:shd w:fill="auto" w:val="clear"/>
          <w:vAlign w:val="center"/>
        </w:tcPr>
        <w:p w:rsidR="00000000" w:rsidDel="00000000" w:rsidP="00000000" w:rsidRDefault="00000000" w:rsidRPr="00000000" w14:paraId="0000006D">
          <w:pPr>
            <w:spacing w:after="4" w:line="249" w:lineRule="auto"/>
            <w:ind w:left="10" w:hanging="10"/>
            <w:rPr>
              <w:rFonts w:ascii="Arial" w:cs="Arial" w:eastAsia="Arial" w:hAnsi="Arial"/>
              <w:sz w:val="16"/>
              <w:szCs w:val="16"/>
            </w:rPr>
          </w:pPr>
          <w:r w:rsidDel="00000000" w:rsidR="00000000" w:rsidRPr="00000000">
            <w:rPr>
              <w:rFonts w:ascii="Arial" w:cs="Arial" w:eastAsia="Arial" w:hAnsi="Arial"/>
              <w:sz w:val="16"/>
              <w:szCs w:val="16"/>
              <w:rtl w:val="0"/>
            </w:rPr>
            <w:t xml:space="preserve">4</w:t>
          </w:r>
        </w:p>
      </w:tc>
    </w:tr>
  </w:tbl>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6"/>
        <w:szCs w:val="16"/>
        <w:u w:val="none"/>
        <w:shd w:fill="auto" w:val="clear"/>
        <w:vertAlign w:val="baseline"/>
      </w:rPr>
      <w:drawing>
        <wp:inline distB="0" distT="0" distL="0" distR="0">
          <wp:extent cx="1562642" cy="365821"/>
          <wp:effectExtent b="0" l="0" r="0" t="0"/>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62642" cy="365821"/>
                  </a:xfrm>
                  <a:prstGeom prst="rect"/>
                  <a:ln/>
                </pic:spPr>
              </pic:pic>
            </a:graphicData>
          </a:graphic>
        </wp:inline>
      </w:drawing>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6"/>
        <w:szCs w:val="16"/>
        <w:u w:val="none"/>
        <w:shd w:fill="auto" w:val="clear"/>
        <w:vertAlign w:val="baseline"/>
      </w:rPr>
      <w:drawing>
        <wp:inline distB="0" distT="0" distL="0" distR="0">
          <wp:extent cx="5607050" cy="362585"/>
          <wp:effectExtent b="0" l="0" r="0" t="0"/>
          <wp:docPr id="6"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5607050" cy="362585"/>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a1818"/>
      </w:rPr>
    </w:pPr>
    <w:r w:rsidDel="00000000" w:rsidR="00000000" w:rsidRPr="00000000">
      <w:rPr>
        <w:rtl w:val="0"/>
      </w:rPr>
    </w:r>
  </w:p>
  <w:tbl>
    <w:tblPr>
      <w:tblStyle w:val="Table3"/>
      <w:tblW w:w="8653.0" w:type="dxa"/>
      <w:jc w:val="center"/>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270"/>
      <w:gridCol w:w="4456"/>
      <w:gridCol w:w="933"/>
      <w:gridCol w:w="1994"/>
      <w:tblGridChange w:id="0">
        <w:tblGrid>
          <w:gridCol w:w="1270"/>
          <w:gridCol w:w="4456"/>
          <w:gridCol w:w="933"/>
          <w:gridCol w:w="1994"/>
        </w:tblGrid>
      </w:tblGridChange>
    </w:tblGrid>
    <w:tr>
      <w:trPr>
        <w:cantSplit w:val="0"/>
        <w:trHeight w:val="146" w:hRule="atLeast"/>
        <w:tblHeader w:val="0"/>
      </w:trPr>
      <w:tc>
        <w:tcPr>
          <w:gridSpan w:val="4"/>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8">
          <w:pPr>
            <w:tabs>
              <w:tab w:val="center" w:leader="none" w:pos="4419"/>
              <w:tab w:val="right" w:leader="none" w:pos="8838"/>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MATRIZ 2 – INDICADORES FINANCIEROS Y ORGANIZACIONALES</w:t>
          </w:r>
        </w:p>
        <w:p w:rsidR="00000000" w:rsidDel="00000000" w:rsidP="00000000" w:rsidRDefault="00000000" w:rsidRPr="00000000" w14:paraId="00000059">
          <w:pPr>
            <w:tabs>
              <w:tab w:val="center" w:leader="none" w:pos="4419"/>
              <w:tab w:val="right" w:leader="none" w:pos="8838"/>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SELECCIÓN ABREVIADA DE OBRA PÚBLICA DE INFRAESTRUCTURA DE TRANSPORTE (VERSIÓN 3) </w:t>
          </w:r>
        </w:p>
      </w:tc>
    </w:tr>
    <w:tr>
      <w:trPr>
        <w:cantSplit w:val="0"/>
        <w:trHeight w:val="23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D">
          <w:pPr>
            <w:spacing w:after="4" w:line="246.99999999999994" w:lineRule="auto"/>
            <w:ind w:left="10" w:hanging="1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Código</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E">
          <w:pPr>
            <w:spacing w:after="4" w:line="246.99999999999994" w:lineRule="auto"/>
            <w:ind w:left="10" w:hanging="10"/>
            <w:rPr>
              <w:rFonts w:ascii="Arial" w:cs="Arial" w:eastAsia="Arial" w:hAnsi="Arial"/>
              <w:sz w:val="16"/>
              <w:szCs w:val="16"/>
            </w:rPr>
          </w:pPr>
          <w:r w:rsidDel="00000000" w:rsidR="00000000" w:rsidRPr="00000000">
            <w:rPr>
              <w:rFonts w:ascii="Arial" w:cs="Arial" w:eastAsia="Arial" w:hAnsi="Arial"/>
              <w:sz w:val="16"/>
              <w:szCs w:val="16"/>
              <w:rtl w:val="0"/>
            </w:rPr>
            <w:t xml:space="preserve">CCE-EICP-FM-12</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F">
          <w:pPr>
            <w:spacing w:after="4" w:line="246.99999999999994" w:lineRule="auto"/>
            <w:ind w:left="10" w:hanging="1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Página</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0">
          <w:pPr>
            <w:spacing w:after="4" w:line="246.99999999999994" w:lineRule="auto"/>
            <w:ind w:left="10" w:hanging="10"/>
            <w:rPr>
              <w:rFonts w:ascii="Arial" w:cs="Arial" w:eastAsia="Arial" w:hAnsi="Arial"/>
              <w:sz w:val="16"/>
              <w:szCs w:val="16"/>
            </w:rPr>
          </w:pP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de </w:t>
          </w:r>
          <w:r w:rsidDel="00000000" w:rsidR="00000000" w:rsidRPr="00000000">
            <w:rPr>
              <w:rFonts w:ascii="Arial" w:cs="Arial" w:eastAsia="Arial" w:hAnsi="Arial"/>
              <w:sz w:val="16"/>
              <w:szCs w:val="16"/>
            </w:rPr>
            <w:fldChar w:fldCharType="begin"/>
            <w:instrText xml:space="preserve">NUMPAGES</w:instrText>
            <w:fldChar w:fldCharType="separate"/>
            <w:fldChar w:fldCharType="end"/>
          </w:r>
          <w:r w:rsidDel="00000000" w:rsidR="00000000" w:rsidRPr="00000000">
            <w:rPr>
              <w:rtl w:val="0"/>
            </w:rPr>
          </w:r>
        </w:p>
      </w:tc>
    </w:tr>
    <w:tr>
      <w:trPr>
        <w:cantSplit w:val="0"/>
        <w:trHeight w:val="73"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1">
          <w:pPr>
            <w:spacing w:after="4" w:line="246.99999999999994" w:lineRule="auto"/>
            <w:ind w:left="10" w:hanging="1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Versión No.</w:t>
          </w:r>
        </w:p>
      </w:tc>
      <w:tc>
        <w:tcPr>
          <w:gridSpan w:val="3"/>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2">
          <w:pPr>
            <w:spacing w:after="4" w:line="246.99999999999994" w:lineRule="auto"/>
            <w:ind w:left="10" w:hanging="10"/>
            <w:rPr>
              <w:rFonts w:ascii="Arial" w:cs="Arial" w:eastAsia="Arial" w:hAnsi="Arial"/>
              <w:sz w:val="16"/>
              <w:szCs w:val="16"/>
            </w:rPr>
          </w:pPr>
          <w:r w:rsidDel="00000000" w:rsidR="00000000" w:rsidRPr="00000000">
            <w:rPr>
              <w:rFonts w:ascii="Arial" w:cs="Arial" w:eastAsia="Arial" w:hAnsi="Arial"/>
              <w:sz w:val="16"/>
              <w:szCs w:val="16"/>
              <w:rtl w:val="0"/>
            </w:rPr>
            <w:t xml:space="preserve">3</w:t>
          </w:r>
        </w:p>
      </w:tc>
    </w:tr>
  </w:tbl>
  <w:p w:rsidR="00000000" w:rsidDel="00000000" w:rsidP="00000000" w:rsidRDefault="00000000" w:rsidRPr="00000000" w14:paraId="00000065">
    <w:pPr>
      <w:rPr>
        <w:color w:val="4e4d4d"/>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1500803" cy="616644"/>
          <wp:effectExtent b="0" l="0" r="0" t="0"/>
          <wp:docPr id="5"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500803" cy="616644"/>
                  </a:xfrm>
                  <a:prstGeom prst="rect"/>
                  <a:ln/>
                </pic:spPr>
              </pic:pic>
            </a:graphicData>
          </a:graphic>
        </wp:inline>
      </w:drawing>
    </w:r>
    <w:r w:rsidDel="00000000" w:rsidR="00000000" w:rsidRPr="00000000">
      <w:rPr>
        <w:rtl w:val="0"/>
      </w:rPr>
    </w:r>
  </w:p>
  <w:p w:rsidR="00000000" w:rsidDel="00000000" w:rsidP="00000000" w:rsidRDefault="00000000" w:rsidRPr="00000000" w14:paraId="00000067">
    <w:pPr>
      <w:pStyle w:val="Heading1"/>
      <w:rPr/>
    </w:pPr>
    <w:r w:rsidDel="00000000" w:rsidR="00000000" w:rsidRPr="00000000">
      <w:rPr>
        <w:rtl w:val="0"/>
      </w:rPr>
      <w:t xml:space="preserve">TÍTULO DEL DOCUMENTO</w:t>
    </w:r>
  </w:p>
  <w:p w:rsidR="00000000" w:rsidDel="00000000" w:rsidP="00000000" w:rsidRDefault="00000000" w:rsidRPr="00000000" w14:paraId="00000068">
    <w:pPr>
      <w:rPr>
        <w:color w:val="4e4d4d"/>
      </w:rPr>
    </w:pPr>
    <w:r w:rsidDel="00000000" w:rsidR="00000000" w:rsidRPr="00000000">
      <w:rPr>
        <w:color w:val="4e4d4d"/>
        <w:rtl w:val="0"/>
      </w:rPr>
      <w:t xml:space="preserve">_______________________________________________________________________________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080" w:hanging="360"/>
      </w:pPr>
      <w:rPr>
        <w:b w:val="1"/>
        <w:bCs w:val="1"/>
        <w:i w:val="0"/>
        <w:iCs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s_419"/>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jc w:val="both"/>
    </w:pPr>
    <w:rPr>
      <w:rFonts w:ascii="Arial" w:cs="Arial" w:eastAsia="Arial" w:hAnsi="Arial"/>
      <w:b w:val="1"/>
      <w:bCs w:val="1"/>
      <w:color w:val="4e4d4d"/>
    </w:rPr>
  </w:style>
  <w:style w:type="paragraph" w:styleId="Heading2">
    <w:name w:val="heading 2"/>
    <w:basedOn w:val="Normal"/>
    <w:next w:val="Normal"/>
    <w:pPr>
      <w:keepNext w:val="1"/>
      <w:keepLines w:val="1"/>
      <w:spacing w:before="200" w:lineRule="auto"/>
      <w:ind w:left="720" w:hanging="360"/>
    </w:pPr>
    <w:rPr>
      <w:rFonts w:ascii="Arial" w:cs="Arial" w:eastAsia="Arial" w:hAnsi="Arial"/>
      <w:b w:val="1"/>
      <w:bCs w:val="1"/>
      <w:color w:val="4e4d4d"/>
    </w:rPr>
  </w:style>
  <w:style w:type="paragraph" w:styleId="Heading3">
    <w:name w:val="heading 3"/>
    <w:basedOn w:val="Normal"/>
    <w:next w:val="Normal"/>
    <w:pPr>
      <w:keepNext w:val="1"/>
      <w:keepLines w:val="1"/>
      <w:spacing w:before="200" w:lineRule="auto"/>
    </w:pPr>
    <w:rPr>
      <w:rFonts w:ascii="Arial" w:cs="Arial" w:eastAsia="Arial" w:hAnsi="Arial"/>
      <w:b w:val="1"/>
      <w:bCs w:val="1"/>
      <w:color w:val="1a181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300" w:lineRule="auto"/>
      <w:ind w:left="1068" w:hanging="360"/>
    </w:pPr>
    <w:rPr>
      <w:rFonts w:ascii="Arial" w:cs="Arial" w:eastAsia="Arial" w:hAnsi="Arial"/>
      <w:color w:val="4e4d4d"/>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4F2C35"/>
    <w:pPr>
      <w:tabs>
        <w:tab w:val="center" w:pos="4419"/>
        <w:tab w:val="right" w:pos="8838"/>
      </w:tabs>
    </w:pPr>
  </w:style>
  <w:style w:type="character" w:styleId="EncabezadoCar" w:customStyle="1">
    <w:name w:val="Encabezado Car"/>
    <w:basedOn w:val="Fuentedeprrafopredeter"/>
    <w:link w:val="Encabezado"/>
    <w:uiPriority w:val="99"/>
    <w:rsid w:val="004F2C35"/>
  </w:style>
  <w:style w:type="paragraph" w:styleId="Piedepgina">
    <w:name w:val="footer"/>
    <w:basedOn w:val="Normal"/>
    <w:link w:val="PiedepginaCar"/>
    <w:uiPriority w:val="99"/>
    <w:unhideWhenUsed w:val="1"/>
    <w:rsid w:val="004F2C35"/>
    <w:pPr>
      <w:tabs>
        <w:tab w:val="center" w:pos="4419"/>
        <w:tab w:val="right" w:pos="8838"/>
      </w:tabs>
    </w:pPr>
  </w:style>
  <w:style w:type="character" w:styleId="PiedepginaCar" w:customStyle="1">
    <w:name w:val="Pie de página Car"/>
    <w:basedOn w:val="Fuentedeprrafopredeter"/>
    <w:link w:val="Piedepgina"/>
    <w:uiPriority w:val="99"/>
    <w:rsid w:val="004F2C35"/>
  </w:style>
  <w:style w:type="paragraph" w:styleId="Textodeglobo">
    <w:name w:val="Balloon Text"/>
    <w:basedOn w:val="Normal"/>
    <w:link w:val="TextodegloboCar"/>
    <w:uiPriority w:val="99"/>
    <w:semiHidden w:val="1"/>
    <w:unhideWhenUsed w:val="1"/>
    <w:rsid w:val="004F2C35"/>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4F2C35"/>
    <w:rPr>
      <w:rFonts w:ascii="Tahoma" w:cs="Tahoma" w:hAnsi="Tahoma"/>
      <w:sz w:val="16"/>
      <w:szCs w:val="16"/>
    </w:rPr>
  </w:style>
  <w:style w:type="paragraph" w:styleId="NormalWeb">
    <w:name w:val="Normal (Web)"/>
    <w:basedOn w:val="Normal"/>
    <w:uiPriority w:val="99"/>
    <w:semiHidden w:val="1"/>
    <w:unhideWhenUsed w:val="1"/>
    <w:rsid w:val="00F56D6D"/>
    <w:pPr>
      <w:spacing w:after="100" w:afterAutospacing="1" w:before="100" w:beforeAutospacing="1"/>
    </w:pPr>
    <w:rPr>
      <w:rFonts w:ascii="Times New Roman" w:cs="Times New Roman" w:eastAsia="Times New Roman" w:hAnsi="Times New Roman"/>
      <w:szCs w:val="24"/>
      <w:lang w:eastAsia="es-CO"/>
    </w:rPr>
  </w:style>
  <w:style w:type="paragraph" w:styleId="Sinespaciado">
    <w:name w:val="No Spacing"/>
    <w:aliases w:val="Encabezado CCE"/>
    <w:basedOn w:val="Normal"/>
    <w:next w:val="Normal"/>
    <w:uiPriority w:val="1"/>
    <w:qFormat w:val="1"/>
    <w:rsid w:val="00F56D6D"/>
    <w:pPr>
      <w:jc w:val="both"/>
    </w:pPr>
    <w:rPr>
      <w:b w:val="1"/>
      <w:color w:val="1a1818" w:themeColor="text1"/>
    </w:rPr>
  </w:style>
  <w:style w:type="character" w:styleId="Ttulo1Car" w:customStyle="1">
    <w:name w:val="Título 1 Car"/>
    <w:aliases w:val="Titulo 1 CCE Car"/>
    <w:basedOn w:val="Fuentedeprrafopredeter"/>
    <w:link w:val="Ttulo1"/>
    <w:uiPriority w:val="9"/>
    <w:rsid w:val="00F56D6D"/>
    <w:rPr>
      <w:rFonts w:asciiTheme="majorHAnsi" w:cstheme="majorBidi" w:eastAsiaTheme="majorEastAsia" w:hAnsiTheme="majorHAnsi"/>
      <w:b w:val="1"/>
      <w:bCs w:val="1"/>
      <w:color w:val="4e4d4d" w:themeColor="background2"/>
      <w:sz w:val="20"/>
      <w:szCs w:val="28"/>
    </w:rPr>
  </w:style>
  <w:style w:type="character" w:styleId="Ttulo2Car" w:customStyle="1">
    <w:name w:val="Título 2 Car"/>
    <w:aliases w:val="Título 2 CCE Car"/>
    <w:basedOn w:val="Fuentedeprrafopredeter"/>
    <w:link w:val="Ttulo2"/>
    <w:uiPriority w:val="9"/>
    <w:rsid w:val="00F56D6D"/>
    <w:rPr>
      <w:rFonts w:asciiTheme="majorHAnsi" w:cstheme="majorBidi" w:eastAsiaTheme="majorEastAsia" w:hAnsiTheme="majorHAnsi"/>
      <w:b w:val="1"/>
      <w:bCs w:val="1"/>
      <w:color w:val="4e4d4d" w:themeColor="background2"/>
      <w:sz w:val="20"/>
      <w:szCs w:val="26"/>
    </w:rPr>
  </w:style>
  <w:style w:type="character" w:styleId="TtuloCar" w:customStyle="1">
    <w:name w:val="Título Car"/>
    <w:aliases w:val="Título 3 CCE Car"/>
    <w:basedOn w:val="Fuentedeprrafopredeter"/>
    <w:link w:val="Ttulo"/>
    <w:uiPriority w:val="10"/>
    <w:rsid w:val="00F56D6D"/>
    <w:rPr>
      <w:rFonts w:asciiTheme="majorHAnsi" w:cstheme="majorBidi" w:eastAsiaTheme="majorEastAsia" w:hAnsiTheme="majorHAnsi"/>
      <w:color w:val="4e4d4d" w:themeColor="background2"/>
      <w:spacing w:val="5"/>
      <w:kern w:val="28"/>
      <w:sz w:val="20"/>
      <w:szCs w:val="52"/>
    </w:rPr>
  </w:style>
  <w:style w:type="character" w:styleId="Ttulo3Car" w:customStyle="1">
    <w:name w:val="Título 3 Car"/>
    <w:basedOn w:val="Fuentedeprrafopredeter"/>
    <w:link w:val="Ttulo3"/>
    <w:uiPriority w:val="9"/>
    <w:rsid w:val="00F56D6D"/>
    <w:rPr>
      <w:rFonts w:asciiTheme="majorHAnsi" w:cstheme="majorBidi" w:eastAsiaTheme="majorEastAsia" w:hAnsiTheme="majorHAnsi"/>
      <w:b w:val="1"/>
      <w:bCs w:val="1"/>
      <w:color w:val="1a1818" w:themeColor="accent1"/>
    </w:rPr>
  </w:style>
  <w:style w:type="character" w:styleId="SubttuloCar" w:customStyle="1">
    <w:name w:val="Subtítulo Car"/>
    <w:basedOn w:val="Fuentedeprrafopredeter"/>
    <w:link w:val="Subttulo"/>
    <w:uiPriority w:val="11"/>
    <w:rsid w:val="006D761F"/>
    <w:rPr>
      <w:rFonts w:asciiTheme="majorHAnsi" w:cstheme="majorBidi" w:eastAsiaTheme="majorEastAsia" w:hAnsiTheme="majorHAnsi"/>
      <w:i w:val="1"/>
      <w:iCs w:val="1"/>
      <w:color w:val="1a1818" w:themeColor="accent1"/>
      <w:spacing w:val="15"/>
      <w:sz w:val="24"/>
      <w:szCs w:val="24"/>
    </w:rPr>
  </w:style>
  <w:style w:type="paragraph" w:styleId="Prrafodelista">
    <w:name w:val="List Paragraph"/>
    <w:basedOn w:val="Normal"/>
    <w:uiPriority w:val="34"/>
    <w:qFormat w:val="1"/>
    <w:rsid w:val="00B30435"/>
    <w:pPr>
      <w:ind w:left="720"/>
      <w:contextualSpacing w:val="1"/>
    </w:pPr>
  </w:style>
  <w:style w:type="table" w:styleId="Tablaconcuadrcula">
    <w:name w:val="Table Grid"/>
    <w:basedOn w:val="Tablanormal"/>
    <w:uiPriority w:val="59"/>
    <w:rsid w:val="00A0687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
    <w:name w:val="Hyperlink"/>
    <w:basedOn w:val="Fuentedeprrafopredeter"/>
    <w:uiPriority w:val="99"/>
    <w:unhideWhenUsed w:val="1"/>
    <w:rsid w:val="00A06874"/>
    <w:rPr>
      <w:color w:val="0078ae" w:themeColor="hyperlink"/>
      <w:u w:val="single"/>
    </w:rPr>
  </w:style>
  <w:style w:type="paragraph" w:styleId="paragraph" w:customStyle="1">
    <w:name w:val="paragraph"/>
    <w:basedOn w:val="Normal"/>
    <w:rsid w:val="000D7CD2"/>
    <w:pPr>
      <w:spacing w:after="100" w:afterAutospacing="1" w:before="100" w:beforeAutospacing="1"/>
    </w:pPr>
    <w:rPr>
      <w:rFonts w:ascii="Times New Roman" w:cs="Times New Roman" w:eastAsia="Times New Roman" w:hAnsi="Times New Roman"/>
      <w:szCs w:val="24"/>
      <w:lang w:eastAsia="es-CO" w:val="es-CO"/>
    </w:rPr>
  </w:style>
  <w:style w:type="character" w:styleId="normaltextrun" w:customStyle="1">
    <w:name w:val="normaltextrun"/>
    <w:basedOn w:val="Fuentedeprrafopredeter"/>
    <w:rsid w:val="000D7CD2"/>
  </w:style>
  <w:style w:type="character" w:styleId="eop" w:customStyle="1">
    <w:name w:val="eop"/>
    <w:basedOn w:val="Fuentedeprrafopredeter"/>
    <w:rsid w:val="000D7CD2"/>
  </w:style>
  <w:style w:type="character" w:styleId="contextualspellingandgrammarerror" w:customStyle="1">
    <w:name w:val="contextualspellingandgrammarerror"/>
    <w:basedOn w:val="Fuentedeprrafopredeter"/>
    <w:rsid w:val="000D7CD2"/>
  </w:style>
  <w:style w:type="character" w:styleId="Refdecomentario">
    <w:name w:val="annotation reference"/>
    <w:basedOn w:val="Fuentedeprrafopredeter"/>
    <w:uiPriority w:val="99"/>
    <w:semiHidden w:val="1"/>
    <w:unhideWhenUsed w:val="1"/>
    <w:rsid w:val="008B3011"/>
    <w:rPr>
      <w:sz w:val="16"/>
      <w:szCs w:val="16"/>
    </w:rPr>
  </w:style>
  <w:style w:type="paragraph" w:styleId="Textocomentario">
    <w:name w:val="annotation text"/>
    <w:basedOn w:val="Normal"/>
    <w:link w:val="TextocomentarioCar"/>
    <w:uiPriority w:val="99"/>
    <w:unhideWhenUsed w:val="1"/>
    <w:rsid w:val="008B3011"/>
    <w:rPr>
      <w:sz w:val="20"/>
      <w:szCs w:val="20"/>
    </w:rPr>
  </w:style>
  <w:style w:type="character" w:styleId="TextocomentarioCar" w:customStyle="1">
    <w:name w:val="Texto comentario Car"/>
    <w:basedOn w:val="Fuentedeprrafopredeter"/>
    <w:link w:val="Textocomentario"/>
    <w:uiPriority w:val="99"/>
    <w:rsid w:val="008B3011"/>
    <w:rPr>
      <w:sz w:val="20"/>
      <w:szCs w:val="20"/>
      <w:lang w:val="es-MX"/>
    </w:rPr>
  </w:style>
  <w:style w:type="paragraph" w:styleId="Asuntodelcomentario">
    <w:name w:val="annotation subject"/>
    <w:basedOn w:val="Textocomentario"/>
    <w:next w:val="Textocomentario"/>
    <w:link w:val="AsuntodelcomentarioCar"/>
    <w:uiPriority w:val="99"/>
    <w:semiHidden w:val="1"/>
    <w:unhideWhenUsed w:val="1"/>
    <w:rsid w:val="008B3011"/>
    <w:rPr>
      <w:b w:val="1"/>
      <w:bCs w:val="1"/>
    </w:rPr>
  </w:style>
  <w:style w:type="character" w:styleId="AsuntodelcomentarioCar" w:customStyle="1">
    <w:name w:val="Asunto del comentario Car"/>
    <w:basedOn w:val="TextocomentarioCar"/>
    <w:link w:val="Asuntodelcomentario"/>
    <w:uiPriority w:val="99"/>
    <w:semiHidden w:val="1"/>
    <w:rsid w:val="008B3011"/>
    <w:rPr>
      <w:b w:val="1"/>
      <w:bCs w:val="1"/>
      <w:sz w:val="20"/>
      <w:szCs w:val="20"/>
      <w:lang w:val="es-MX"/>
    </w:rPr>
  </w:style>
  <w:style w:type="table" w:styleId="Cuadrculadetablaclara1" w:customStyle="1">
    <w:name w:val="Cuadrícula de tabla clara1"/>
    <w:basedOn w:val="Tablanormal"/>
    <w:next w:val="Tablaconcuadrculaclara"/>
    <w:uiPriority w:val="99"/>
    <w:rsid w:val="008E7D95"/>
    <w:pPr>
      <w:spacing w:after="0" w:line="240" w:lineRule="auto"/>
    </w:pPr>
    <w:rPr>
      <w:rFonts w:ascii="Calibri" w:cs="Times New Roman" w:eastAsia="Calibri" w:hAnsi="Calibri"/>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clara">
    <w:name w:val="Grid Table Light"/>
    <w:basedOn w:val="Tablanormal"/>
    <w:uiPriority w:val="40"/>
    <w:rsid w:val="008E7D95"/>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Cuadrculadetablaclara11" w:customStyle="1">
    <w:name w:val="Cuadrícula de tabla clara11"/>
    <w:basedOn w:val="Tablanormal"/>
    <w:uiPriority w:val="99"/>
    <w:rsid w:val="00703A6F"/>
    <w:pPr>
      <w:spacing w:after="0" w:line="240" w:lineRule="auto"/>
    </w:pPr>
    <w:rPr>
      <w:rFonts w:ascii="Calibri" w:cs="Times New Roman" w:eastAsia="Calibri" w:hAnsi="Calibri"/>
    </w:rPr>
    <w:tblPr>
      <w:tblInd w:w="0.0" w:type="nil"/>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1" w:customStyle="1">
    <w:name w:val="Tabla con cuadrícula1"/>
    <w:basedOn w:val="Tablanormal"/>
    <w:next w:val="Tablaconcuadrcula"/>
    <w:uiPriority w:val="59"/>
    <w:rsid w:val="00A8791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n">
    <w:name w:val="Revision"/>
    <w:hidden w:val="1"/>
    <w:uiPriority w:val="99"/>
    <w:semiHidden w:val="1"/>
    <w:rsid w:val="00226CE0"/>
    <w:pPr>
      <w:spacing w:after="0" w:line="240" w:lineRule="auto"/>
    </w:pPr>
    <w:rPr>
      <w:sz w:val="24"/>
      <w:lang w:val="es-MX"/>
    </w:rPr>
  </w:style>
  <w:style w:type="paragraph" w:styleId="Subtitle">
    <w:name w:val="Subtitle"/>
    <w:basedOn w:val="Normal"/>
    <w:next w:val="Normal"/>
    <w:pPr/>
    <w:rPr>
      <w:rFonts w:ascii="Arial" w:cs="Arial" w:eastAsia="Arial" w:hAnsi="Arial"/>
      <w:i w:val="1"/>
      <w:iCs w:val="1"/>
      <w:color w:val="1a181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CambriaMath-regular.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esPiqW3fBLm6AFs4kGWandrhTQ==">CgMxLjA4AHIhMW04bVlUM1ZkY0NkTjRkeFpHbzY0M19OZE5yMU5nOGxw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2022-08-01T21:30:00.0000000Z</dcterms:created>
  <dc:creator>Natalia Andrea Estupiñán Castro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2.29269E7</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